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2DA0" w14:textId="6E307211" w:rsidR="00FD27E6" w:rsidRPr="00945319" w:rsidRDefault="00487471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D27E6" w:rsidRPr="00945319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14:paraId="6395165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27B8B61" w14:textId="3E8BD83E" w:rsidR="00FD27E6" w:rsidRPr="00FD27E6" w:rsidRDefault="00FD27E6" w:rsidP="00FD27E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Kvalifikācijas prasības pretendentiem</w:t>
      </w:r>
    </w:p>
    <w:p w14:paraId="6663FB68" w14:textId="24B0C369" w:rsidR="0005257D" w:rsidRPr="00FD27E6" w:rsidRDefault="00FD27E6" w:rsidP="00052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b/>
          <w:sz w:val="24"/>
          <w:szCs w:val="24"/>
          <w:lang w:val="lv-LV"/>
        </w:rPr>
        <w:t>Piegādātāju izvēles procedūr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</w:p>
    <w:p w14:paraId="01BB91CC" w14:textId="1D24B7A4" w:rsidR="00FD27E6" w:rsidRPr="00DC19DD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“</w:t>
      </w:r>
      <w:bookmarkStart w:id="0" w:name="_Hlk210228409"/>
      <w:r w:rsidR="000C3464" w:rsidRPr="000C3464">
        <w:rPr>
          <w:rFonts w:ascii="Times New Roman" w:hAnsi="Times New Roman" w:cs="Times New Roman"/>
          <w:b/>
          <w:sz w:val="24"/>
          <w:szCs w:val="24"/>
          <w:lang w:val="lv-LV"/>
        </w:rPr>
        <w:t>Ostu kopienas sistēmas (OKS) zīmola, pozicionējuma un satura izveide</w:t>
      </w:r>
      <w:bookmarkEnd w:id="0"/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</w:p>
    <w:p w14:paraId="389644B1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AFA98C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96608C8" w14:textId="45983236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 xml:space="preserve">Pretendentu kvalifikācijas prasību izpilde ir obligāta visiem pretendentiem, kas vēlas iegūt tiesības sniegt pakalpojumu un slēgt iepirkuma līgumu. </w:t>
      </w:r>
    </w:p>
    <w:p w14:paraId="2CB1FBA7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A6BA78A" w14:textId="139DEDA1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>Pretendentiem ir jāatbilst šādiem pretendentu kvalifikācijas kritērijiem un kvalifikācijas dokumentos jāiesniedz:</w:t>
      </w:r>
    </w:p>
    <w:p w14:paraId="7F072C86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CellMar>
          <w:top w:w="14" w:type="dxa"/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3964"/>
        <w:gridCol w:w="5529"/>
      </w:tblGrid>
      <w:tr w:rsidR="00FD27E6" w:rsidRPr="00FD27E6" w14:paraId="3C3CD4C8" w14:textId="77777777" w:rsidTr="007E0BB0">
        <w:trPr>
          <w:trHeight w:val="417"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41740" w14:textId="77777777" w:rsidR="00FD27E6" w:rsidRPr="00FD27E6" w:rsidRDefault="00FD27E6" w:rsidP="007E0BB0">
            <w:pPr>
              <w:tabs>
                <w:tab w:val="left" w:pos="720"/>
              </w:tabs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PRASĪBAS</w:t>
            </w:r>
          </w:p>
        </w:tc>
      </w:tr>
      <w:tr w:rsidR="00B27C78" w:rsidRPr="00FD27E6" w14:paraId="4C588792" w14:textId="77777777" w:rsidTr="00D255E4">
        <w:trPr>
          <w:trHeight w:val="1344"/>
          <w:tblHeader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BD108" w14:textId="77777777" w:rsidR="00B27C78" w:rsidRPr="00FD27E6" w:rsidRDefault="00B27C78" w:rsidP="007E0BB0">
            <w:pPr>
              <w:tabs>
                <w:tab w:val="left" w:pos="720"/>
              </w:tabs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kritērijs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EC140" w14:textId="7851DB79" w:rsidR="00B27C78" w:rsidRPr="00FD27E6" w:rsidRDefault="00B27C78" w:rsidP="007E0B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Iesniedzamie dokumenti</w:t>
            </w:r>
          </w:p>
        </w:tc>
      </w:tr>
      <w:tr w:rsidR="00FD27E6" w:rsidRPr="00FD27E6" w14:paraId="6C69EB75" w14:textId="77777777" w:rsidTr="007E0BB0">
        <w:trPr>
          <w:trHeight w:val="399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E7B38" w14:textId="77777777" w:rsidR="00FD27E6" w:rsidRPr="00FD27E6" w:rsidRDefault="00FD27E6" w:rsidP="007E0BB0">
            <w:pPr>
              <w:tabs>
                <w:tab w:val="left" w:pos="720"/>
              </w:tabs>
              <w:ind w:left="142" w:right="11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lv-LV" w:eastAsia="ar-SA"/>
              </w:rPr>
              <w:t>Tehniskās un profesionālās spējas</w:t>
            </w:r>
          </w:p>
        </w:tc>
      </w:tr>
      <w:tr w:rsidR="00FD27E6" w:rsidRPr="00FD27E6" w14:paraId="780FF5A6" w14:textId="77777777" w:rsidTr="007E0BB0">
        <w:trPr>
          <w:trHeight w:val="39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4E34" w14:textId="38E9F333" w:rsidR="00DC19DD" w:rsidRPr="00DC19DD" w:rsidRDefault="00DC19DD" w:rsidP="008B0B1F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ind w:right="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C1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Pieredze:</w:t>
            </w:r>
          </w:p>
          <w:p w14:paraId="367AD8B9" w14:textId="55AAD33E" w:rsidR="00FD27E6" w:rsidRPr="00FD27E6" w:rsidRDefault="00FD27E6" w:rsidP="008B0B1F">
            <w:pPr>
              <w:tabs>
                <w:tab w:val="left" w:pos="720"/>
              </w:tabs>
              <w:spacing w:line="276" w:lineRule="auto"/>
              <w:ind w:left="152" w:right="5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iepriekšējo 3 (trīs) gadu laikā (</w:t>
            </w:r>
            <w:r w:rsidRPr="00FD27E6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2022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., 2023., 2024. gadā</w:t>
            </w:r>
            <w:r w:rsidRPr="00FD27E6" w:rsidDel="006E3C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D2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2025. gadā līdz piedāvājuma iesniegšanas dienai) ir: </w:t>
            </w:r>
          </w:p>
          <w:p w14:paraId="2B545A05" w14:textId="3CEB3AA2" w:rsidR="00FD27E6" w:rsidRDefault="0005257D" w:rsidP="0005257D">
            <w:pPr>
              <w:pStyle w:val="Tab111"/>
              <w:spacing w:before="0" w:after="0" w:line="276" w:lineRule="auto"/>
              <w:ind w:left="142" w:right="142"/>
            </w:pPr>
            <w:r w:rsidRPr="0005257D">
              <w:t>piedalī</w:t>
            </w:r>
            <w:r>
              <w:t>jies</w:t>
            </w:r>
            <w:r w:rsidRPr="0005257D">
              <w:t xml:space="preserve"> vismaz 3 (trīs) uz klientu vajadzībām orientēto platformu, portālu vai informācijas sistēmu satura un saskarņu tekstu izveidē</w:t>
            </w:r>
            <w:r>
              <w:t>.</w:t>
            </w:r>
          </w:p>
          <w:p w14:paraId="57AC2BF1" w14:textId="77777777" w:rsidR="00DC19DD" w:rsidRDefault="00DC19DD" w:rsidP="008B0B1F">
            <w:pPr>
              <w:pStyle w:val="Tab111"/>
              <w:spacing w:before="0" w:after="0" w:line="276" w:lineRule="auto"/>
              <w:ind w:left="567" w:right="142"/>
              <w:jc w:val="left"/>
            </w:pPr>
          </w:p>
          <w:p w14:paraId="0CAD8857" w14:textId="77777777" w:rsidR="00DC19DD" w:rsidRDefault="00DC19DD" w:rsidP="008B0B1F">
            <w:pPr>
              <w:pStyle w:val="Tab111"/>
              <w:numPr>
                <w:ilvl w:val="0"/>
                <w:numId w:val="3"/>
              </w:numPr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  <w:r w:rsidRPr="00DC19DD">
              <w:rPr>
                <w:b/>
                <w:bCs/>
              </w:rPr>
              <w:t>Kvalifikācija:</w:t>
            </w:r>
          </w:p>
          <w:p w14:paraId="0B2FCA59" w14:textId="724C2D13" w:rsidR="00DC19DD" w:rsidRDefault="00DC19DD" w:rsidP="0005257D">
            <w:pPr>
              <w:pStyle w:val="Tab111"/>
              <w:spacing w:before="0" w:after="0" w:line="276" w:lineRule="auto"/>
              <w:ind w:left="567" w:right="142"/>
              <w:jc w:val="left"/>
            </w:pPr>
            <w:r>
              <w:t>Pretendentam ir</w:t>
            </w:r>
            <w:r w:rsidR="0005257D">
              <w:t>:</w:t>
            </w:r>
          </w:p>
          <w:p w14:paraId="3DF40BF9" w14:textId="5A162829" w:rsidR="0005257D" w:rsidRDefault="0005257D" w:rsidP="0005257D">
            <w:pPr>
              <w:pStyle w:val="Tab111"/>
              <w:numPr>
                <w:ilvl w:val="1"/>
                <w:numId w:val="3"/>
              </w:numPr>
              <w:spacing w:before="0" w:after="0" w:line="276" w:lineRule="auto"/>
              <w:ind w:left="567" w:right="142" w:hanging="425"/>
            </w:pPr>
            <w:r w:rsidRPr="0005257D">
              <w:t xml:space="preserve">vismaz 1 starptautiski atzīts sertifikāts digitālajā mārketingā un/vai uz klientiem orientētā digitālā satura un dizaina izveidē (Starptautiski atzīts sertifikāts digitālajā mārketingā un/vai uz klientiem orientētā digitālā satura un dizaina izveidē, piemēram, Google </w:t>
            </w:r>
            <w:proofErr w:type="spellStart"/>
            <w:r w:rsidRPr="0005257D">
              <w:t>Digital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Marketing</w:t>
            </w:r>
            <w:proofErr w:type="spellEnd"/>
            <w:r w:rsidRPr="0005257D">
              <w:t xml:space="preserve"> &amp; E-</w:t>
            </w:r>
            <w:proofErr w:type="spellStart"/>
            <w:r w:rsidRPr="0005257D">
              <w:t>commerce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Certificate</w:t>
            </w:r>
            <w:proofErr w:type="spellEnd"/>
            <w:r w:rsidRPr="0005257D">
              <w:t xml:space="preserve">, Meta </w:t>
            </w:r>
            <w:proofErr w:type="spellStart"/>
            <w:r w:rsidRPr="0005257D">
              <w:t>Certified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Digital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Marketing</w:t>
            </w:r>
            <w:proofErr w:type="spellEnd"/>
            <w:r w:rsidRPr="0005257D">
              <w:t xml:space="preserve"> </w:t>
            </w:r>
            <w:proofErr w:type="spellStart"/>
            <w:r w:rsidRPr="0005257D">
              <w:lastRenderedPageBreak/>
              <w:t>Associate</w:t>
            </w:r>
            <w:proofErr w:type="spellEnd"/>
            <w:r w:rsidRPr="0005257D">
              <w:t xml:space="preserve">, </w:t>
            </w:r>
            <w:proofErr w:type="spellStart"/>
            <w:r w:rsidRPr="0005257D">
              <w:t>HubSpot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Content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Marketing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Certification</w:t>
            </w:r>
            <w:proofErr w:type="spellEnd"/>
            <w:r w:rsidRPr="0005257D">
              <w:t xml:space="preserve">, DMI </w:t>
            </w:r>
            <w:proofErr w:type="spellStart"/>
            <w:r w:rsidRPr="0005257D">
              <w:t>Certified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Digital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Marketing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Professional</w:t>
            </w:r>
            <w:proofErr w:type="spellEnd"/>
            <w:r w:rsidRPr="0005257D">
              <w:t xml:space="preserve"> vai līdzvērtīgs</w:t>
            </w:r>
            <w:r>
              <w:t>.</w:t>
            </w:r>
          </w:p>
          <w:p w14:paraId="33FB1196" w14:textId="52A15781" w:rsidR="0005257D" w:rsidRPr="0005257D" w:rsidRDefault="0005257D" w:rsidP="0005257D">
            <w:pPr>
              <w:pStyle w:val="Tab111"/>
              <w:numPr>
                <w:ilvl w:val="1"/>
                <w:numId w:val="3"/>
              </w:numPr>
              <w:spacing w:after="0" w:line="276" w:lineRule="auto"/>
              <w:ind w:left="567" w:right="142" w:hanging="425"/>
              <w:contextualSpacing w:val="0"/>
            </w:pPr>
            <w:r w:rsidRPr="0005257D">
              <w:t xml:space="preserve">vismaz 1 starptautiski atzīts sertifikāts mākslīgā intelekta rīku izmantošanā satura izveidei un apstrādei (Starptautiski atzīts sertifikāts mākslīgā intelekta rīku izmantošanā satura izveidei un apstrādei, piemēram, Google AI </w:t>
            </w:r>
            <w:proofErr w:type="spellStart"/>
            <w:r w:rsidRPr="0005257D">
              <w:t>Essentials</w:t>
            </w:r>
            <w:proofErr w:type="spellEnd"/>
            <w:r w:rsidRPr="0005257D">
              <w:t xml:space="preserve">, </w:t>
            </w:r>
            <w:proofErr w:type="spellStart"/>
            <w:r w:rsidRPr="0005257D">
              <w:t>Generative</w:t>
            </w:r>
            <w:proofErr w:type="spellEnd"/>
            <w:r w:rsidRPr="0005257D">
              <w:t xml:space="preserve"> AI </w:t>
            </w:r>
            <w:proofErr w:type="spellStart"/>
            <w:r w:rsidRPr="0005257D">
              <w:t>with</w:t>
            </w:r>
            <w:proofErr w:type="spellEnd"/>
            <w:r w:rsidRPr="0005257D">
              <w:t xml:space="preserve"> Google </w:t>
            </w:r>
            <w:proofErr w:type="spellStart"/>
            <w:r w:rsidRPr="0005257D">
              <w:t>Cloud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Skill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Badge</w:t>
            </w:r>
            <w:proofErr w:type="spellEnd"/>
            <w:r w:rsidRPr="0005257D">
              <w:t xml:space="preserve">, </w:t>
            </w:r>
            <w:proofErr w:type="spellStart"/>
            <w:r w:rsidRPr="0005257D">
              <w:t>ChatGPT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Prompt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Engineering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for</w:t>
            </w:r>
            <w:proofErr w:type="spellEnd"/>
            <w:r w:rsidRPr="0005257D">
              <w:t xml:space="preserve"> </w:t>
            </w:r>
            <w:proofErr w:type="spellStart"/>
            <w:r w:rsidRPr="0005257D">
              <w:t>Developers</w:t>
            </w:r>
            <w:proofErr w:type="spellEnd"/>
            <w:r w:rsidRPr="0005257D">
              <w:t xml:space="preserve">, IBM </w:t>
            </w:r>
            <w:proofErr w:type="spellStart"/>
            <w:r w:rsidRPr="0005257D">
              <w:t>Applied</w:t>
            </w:r>
            <w:proofErr w:type="spellEnd"/>
            <w:r w:rsidRPr="0005257D">
              <w:t xml:space="preserve"> AI </w:t>
            </w:r>
            <w:proofErr w:type="spellStart"/>
            <w:r w:rsidRPr="0005257D">
              <w:t>Certificate</w:t>
            </w:r>
            <w:proofErr w:type="spellEnd"/>
            <w:r w:rsidRPr="0005257D">
              <w:t>).</w:t>
            </w:r>
          </w:p>
          <w:p w14:paraId="15A4CCA3" w14:textId="77777777" w:rsid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1B7040BA" w14:textId="7B3B08D3" w:rsidR="00DC19DD" w:rsidRPr="00DC19DD" w:rsidRDefault="00DC19DD" w:rsidP="008B0B1F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4C70" w14:textId="77777777" w:rsidR="00DC19DD" w:rsidRDefault="00DC19DD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6FEB79" w14:textId="37672071" w:rsidR="00FD27E6" w:rsidRPr="00152BA9" w:rsidRDefault="00FD27E6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Lai apliecinātu </w:t>
            </w:r>
            <w:r w:rsidR="001F2D79"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noteikto </w:t>
            </w: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pieredzi, pretendents </w:t>
            </w:r>
            <w:r w:rsidR="001F2D79"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sagatavo </w:t>
            </w:r>
            <w:r w:rsidR="00152BA9" w:rsidRPr="0015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57D">
              <w:t xml:space="preserve"> </w:t>
            </w:r>
            <w:r w:rsidR="000525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05257D" w:rsidRPr="000525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rojekta pieredzes aprakst</w:t>
            </w:r>
            <w:r w:rsidR="000525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05257D" w:rsidRPr="000525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norādot projekta īstenošanas periodu (no-līdz), pasūtītāju, pasūtītāja kontaktpersonu un kontaktinformāciju, projekta īsu aprakstu</w:t>
            </w:r>
            <w:r w:rsidR="00152BA9" w:rsidRPr="000525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33B2DF5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568C7B0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2C121E8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50403F" w14:textId="77777777" w:rsidR="00152BA9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CA95ADF" w14:textId="7A3058A4" w:rsidR="00FD27E6" w:rsidRPr="00FD27E6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Lai apliecinātu noteikto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kvalifikāciju</w:t>
            </w:r>
            <w:r w:rsidRPr="0015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pretendents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 attiecīgo sertifikātu kopijas.</w:t>
            </w:r>
          </w:p>
        </w:tc>
      </w:tr>
    </w:tbl>
    <w:p w14:paraId="174FDCF0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6FE50E" w14:textId="77777777" w:rsidR="00AA7EE4" w:rsidRPr="00FD27E6" w:rsidRDefault="00AA7EE4">
      <w:pPr>
        <w:rPr>
          <w:sz w:val="24"/>
          <w:szCs w:val="24"/>
        </w:rPr>
      </w:pPr>
    </w:p>
    <w:sectPr w:rsidR="00AA7EE4" w:rsidRPr="00FD27E6" w:rsidSect="000D2FFC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6833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31C648BD"/>
    <w:multiLevelType w:val="multilevel"/>
    <w:tmpl w:val="7E82DD94"/>
    <w:lvl w:ilvl="0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8" w:hanging="1800"/>
      </w:pPr>
      <w:rPr>
        <w:rFonts w:hint="default"/>
      </w:rPr>
    </w:lvl>
  </w:abstractNum>
  <w:abstractNum w:abstractNumId="2" w15:restartNumberingAfterBreak="0">
    <w:nsid w:val="57A63B42"/>
    <w:multiLevelType w:val="hybridMultilevel"/>
    <w:tmpl w:val="36D0477C"/>
    <w:lvl w:ilvl="0" w:tplc="FD566A3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9" w:hanging="360"/>
      </w:pPr>
    </w:lvl>
    <w:lvl w:ilvl="2" w:tplc="0426001B" w:tentative="1">
      <w:start w:val="1"/>
      <w:numFmt w:val="lowerRoman"/>
      <w:lvlText w:val="%3."/>
      <w:lvlJc w:val="right"/>
      <w:pPr>
        <w:ind w:left="1849" w:hanging="180"/>
      </w:pPr>
    </w:lvl>
    <w:lvl w:ilvl="3" w:tplc="0426000F" w:tentative="1">
      <w:start w:val="1"/>
      <w:numFmt w:val="decimal"/>
      <w:lvlText w:val="%4."/>
      <w:lvlJc w:val="left"/>
      <w:pPr>
        <w:ind w:left="2569" w:hanging="360"/>
      </w:pPr>
    </w:lvl>
    <w:lvl w:ilvl="4" w:tplc="04260019" w:tentative="1">
      <w:start w:val="1"/>
      <w:numFmt w:val="lowerLetter"/>
      <w:lvlText w:val="%5."/>
      <w:lvlJc w:val="left"/>
      <w:pPr>
        <w:ind w:left="3289" w:hanging="360"/>
      </w:pPr>
    </w:lvl>
    <w:lvl w:ilvl="5" w:tplc="0426001B" w:tentative="1">
      <w:start w:val="1"/>
      <w:numFmt w:val="lowerRoman"/>
      <w:lvlText w:val="%6."/>
      <w:lvlJc w:val="right"/>
      <w:pPr>
        <w:ind w:left="4009" w:hanging="180"/>
      </w:pPr>
    </w:lvl>
    <w:lvl w:ilvl="6" w:tplc="0426000F" w:tentative="1">
      <w:start w:val="1"/>
      <w:numFmt w:val="decimal"/>
      <w:lvlText w:val="%7."/>
      <w:lvlJc w:val="left"/>
      <w:pPr>
        <w:ind w:left="4729" w:hanging="360"/>
      </w:pPr>
    </w:lvl>
    <w:lvl w:ilvl="7" w:tplc="04260019" w:tentative="1">
      <w:start w:val="1"/>
      <w:numFmt w:val="lowerLetter"/>
      <w:lvlText w:val="%8."/>
      <w:lvlJc w:val="left"/>
      <w:pPr>
        <w:ind w:left="5449" w:hanging="360"/>
      </w:pPr>
    </w:lvl>
    <w:lvl w:ilvl="8" w:tplc="0426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" w15:restartNumberingAfterBreak="0">
    <w:nsid w:val="7AC82128"/>
    <w:multiLevelType w:val="multilevel"/>
    <w:tmpl w:val="4BD6A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2E74B5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color w:val="2E74B5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  <w:color w:val="2E74B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E74B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E74B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E74B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E74B5"/>
      </w:rPr>
    </w:lvl>
  </w:abstractNum>
  <w:num w:numId="1" w16cid:durableId="462382930">
    <w:abstractNumId w:val="3"/>
  </w:num>
  <w:num w:numId="2" w16cid:durableId="553388730">
    <w:abstractNumId w:val="2"/>
  </w:num>
  <w:num w:numId="3" w16cid:durableId="593129571">
    <w:abstractNumId w:val="1"/>
  </w:num>
  <w:num w:numId="4" w16cid:durableId="124715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2"/>
    <w:rsid w:val="0001357C"/>
    <w:rsid w:val="00027F07"/>
    <w:rsid w:val="00030E9A"/>
    <w:rsid w:val="000362FC"/>
    <w:rsid w:val="0004241F"/>
    <w:rsid w:val="0005257D"/>
    <w:rsid w:val="000645AD"/>
    <w:rsid w:val="00066ECC"/>
    <w:rsid w:val="00070A45"/>
    <w:rsid w:val="00076814"/>
    <w:rsid w:val="000775EB"/>
    <w:rsid w:val="0009699F"/>
    <w:rsid w:val="000A3E4A"/>
    <w:rsid w:val="000A3E55"/>
    <w:rsid w:val="000A3FB6"/>
    <w:rsid w:val="000A57D4"/>
    <w:rsid w:val="000A5F0B"/>
    <w:rsid w:val="000B5A69"/>
    <w:rsid w:val="000C3464"/>
    <w:rsid w:val="000C5975"/>
    <w:rsid w:val="000D1277"/>
    <w:rsid w:val="000D2FFC"/>
    <w:rsid w:val="000E0E14"/>
    <w:rsid w:val="000E0E6E"/>
    <w:rsid w:val="000E270A"/>
    <w:rsid w:val="000E29C6"/>
    <w:rsid w:val="001221A6"/>
    <w:rsid w:val="00123006"/>
    <w:rsid w:val="0012770B"/>
    <w:rsid w:val="001369AD"/>
    <w:rsid w:val="00144AC6"/>
    <w:rsid w:val="001450D9"/>
    <w:rsid w:val="00152BA9"/>
    <w:rsid w:val="00167B8F"/>
    <w:rsid w:val="001A1BBD"/>
    <w:rsid w:val="001A1CF0"/>
    <w:rsid w:val="001B19A4"/>
    <w:rsid w:val="001B2AF6"/>
    <w:rsid w:val="001C4014"/>
    <w:rsid w:val="001C648A"/>
    <w:rsid w:val="001D4D83"/>
    <w:rsid w:val="001E0B77"/>
    <w:rsid w:val="001F2D79"/>
    <w:rsid w:val="001F2F8E"/>
    <w:rsid w:val="001F5E10"/>
    <w:rsid w:val="00217DCF"/>
    <w:rsid w:val="00240DF1"/>
    <w:rsid w:val="00250F23"/>
    <w:rsid w:val="00265206"/>
    <w:rsid w:val="002731BB"/>
    <w:rsid w:val="00273E48"/>
    <w:rsid w:val="00277A9C"/>
    <w:rsid w:val="00292CCC"/>
    <w:rsid w:val="002C5C66"/>
    <w:rsid w:val="002D709C"/>
    <w:rsid w:val="002F088F"/>
    <w:rsid w:val="002F1C27"/>
    <w:rsid w:val="002F5DF3"/>
    <w:rsid w:val="002F7683"/>
    <w:rsid w:val="0030087B"/>
    <w:rsid w:val="00305E45"/>
    <w:rsid w:val="003132A9"/>
    <w:rsid w:val="00332BBB"/>
    <w:rsid w:val="003525AB"/>
    <w:rsid w:val="003632A3"/>
    <w:rsid w:val="00364493"/>
    <w:rsid w:val="003772FE"/>
    <w:rsid w:val="003976F1"/>
    <w:rsid w:val="00397D15"/>
    <w:rsid w:val="003B6B39"/>
    <w:rsid w:val="003C1DC7"/>
    <w:rsid w:val="003C27F0"/>
    <w:rsid w:val="003C5E8A"/>
    <w:rsid w:val="003D47AB"/>
    <w:rsid w:val="003E69D1"/>
    <w:rsid w:val="003F181A"/>
    <w:rsid w:val="004009F7"/>
    <w:rsid w:val="00413E60"/>
    <w:rsid w:val="00417C5D"/>
    <w:rsid w:val="00421A8A"/>
    <w:rsid w:val="00431D0F"/>
    <w:rsid w:val="00445650"/>
    <w:rsid w:val="004514FC"/>
    <w:rsid w:val="0045224C"/>
    <w:rsid w:val="004530D2"/>
    <w:rsid w:val="004666B0"/>
    <w:rsid w:val="00474101"/>
    <w:rsid w:val="00477052"/>
    <w:rsid w:val="00483D8C"/>
    <w:rsid w:val="00485702"/>
    <w:rsid w:val="00487471"/>
    <w:rsid w:val="004D7B08"/>
    <w:rsid w:val="00530354"/>
    <w:rsid w:val="00532E6C"/>
    <w:rsid w:val="00537AE0"/>
    <w:rsid w:val="00546E09"/>
    <w:rsid w:val="005537A9"/>
    <w:rsid w:val="00561B9F"/>
    <w:rsid w:val="00596673"/>
    <w:rsid w:val="005B19CD"/>
    <w:rsid w:val="005B4A84"/>
    <w:rsid w:val="005B5C89"/>
    <w:rsid w:val="005C0240"/>
    <w:rsid w:val="005C33BC"/>
    <w:rsid w:val="005C7781"/>
    <w:rsid w:val="00612819"/>
    <w:rsid w:val="00614099"/>
    <w:rsid w:val="00614DC4"/>
    <w:rsid w:val="00636337"/>
    <w:rsid w:val="006644D2"/>
    <w:rsid w:val="00684F38"/>
    <w:rsid w:val="00697946"/>
    <w:rsid w:val="006A6D9F"/>
    <w:rsid w:val="006D7A31"/>
    <w:rsid w:val="006E1661"/>
    <w:rsid w:val="006E3E26"/>
    <w:rsid w:val="006F070D"/>
    <w:rsid w:val="006F40CD"/>
    <w:rsid w:val="006F7279"/>
    <w:rsid w:val="00705336"/>
    <w:rsid w:val="00706347"/>
    <w:rsid w:val="00707781"/>
    <w:rsid w:val="00724750"/>
    <w:rsid w:val="00762C82"/>
    <w:rsid w:val="00784058"/>
    <w:rsid w:val="00787491"/>
    <w:rsid w:val="0079070D"/>
    <w:rsid w:val="007A772F"/>
    <w:rsid w:val="007B26CD"/>
    <w:rsid w:val="007B2779"/>
    <w:rsid w:val="007C6635"/>
    <w:rsid w:val="007D03A1"/>
    <w:rsid w:val="007E3C2D"/>
    <w:rsid w:val="007F1156"/>
    <w:rsid w:val="007F5FFE"/>
    <w:rsid w:val="008003CA"/>
    <w:rsid w:val="0080537A"/>
    <w:rsid w:val="00805CE1"/>
    <w:rsid w:val="00832E07"/>
    <w:rsid w:val="00834738"/>
    <w:rsid w:val="0084032E"/>
    <w:rsid w:val="0084309B"/>
    <w:rsid w:val="00861E25"/>
    <w:rsid w:val="00862252"/>
    <w:rsid w:val="008657D0"/>
    <w:rsid w:val="00871B3E"/>
    <w:rsid w:val="008803A9"/>
    <w:rsid w:val="008862E2"/>
    <w:rsid w:val="00890B42"/>
    <w:rsid w:val="008964CA"/>
    <w:rsid w:val="008A7582"/>
    <w:rsid w:val="008B0B1F"/>
    <w:rsid w:val="00910DD4"/>
    <w:rsid w:val="00922B00"/>
    <w:rsid w:val="00923A40"/>
    <w:rsid w:val="00933DCD"/>
    <w:rsid w:val="00940322"/>
    <w:rsid w:val="00945319"/>
    <w:rsid w:val="00946418"/>
    <w:rsid w:val="0094792D"/>
    <w:rsid w:val="00960581"/>
    <w:rsid w:val="00967152"/>
    <w:rsid w:val="00967DC1"/>
    <w:rsid w:val="009766A1"/>
    <w:rsid w:val="009836F8"/>
    <w:rsid w:val="0099079E"/>
    <w:rsid w:val="009A6C69"/>
    <w:rsid w:val="009C12AC"/>
    <w:rsid w:val="009C3E75"/>
    <w:rsid w:val="009D1221"/>
    <w:rsid w:val="009D7C49"/>
    <w:rsid w:val="009E2568"/>
    <w:rsid w:val="00A07F4B"/>
    <w:rsid w:val="00A149C0"/>
    <w:rsid w:val="00A45110"/>
    <w:rsid w:val="00A65DEF"/>
    <w:rsid w:val="00A66216"/>
    <w:rsid w:val="00A7318A"/>
    <w:rsid w:val="00A82BE4"/>
    <w:rsid w:val="00AA7EE4"/>
    <w:rsid w:val="00AC3C05"/>
    <w:rsid w:val="00AC5C0F"/>
    <w:rsid w:val="00AD0B85"/>
    <w:rsid w:val="00AE3536"/>
    <w:rsid w:val="00AF16B9"/>
    <w:rsid w:val="00B1097D"/>
    <w:rsid w:val="00B17D0D"/>
    <w:rsid w:val="00B2305E"/>
    <w:rsid w:val="00B25D38"/>
    <w:rsid w:val="00B27C78"/>
    <w:rsid w:val="00B27F52"/>
    <w:rsid w:val="00B31B56"/>
    <w:rsid w:val="00B327EC"/>
    <w:rsid w:val="00B37480"/>
    <w:rsid w:val="00B406B5"/>
    <w:rsid w:val="00B421D8"/>
    <w:rsid w:val="00B42A58"/>
    <w:rsid w:val="00B44B38"/>
    <w:rsid w:val="00B46A6C"/>
    <w:rsid w:val="00B51430"/>
    <w:rsid w:val="00B516CB"/>
    <w:rsid w:val="00B5422E"/>
    <w:rsid w:val="00B5701A"/>
    <w:rsid w:val="00B75043"/>
    <w:rsid w:val="00B847F6"/>
    <w:rsid w:val="00B96539"/>
    <w:rsid w:val="00B97C12"/>
    <w:rsid w:val="00BB2326"/>
    <w:rsid w:val="00BB4986"/>
    <w:rsid w:val="00BC0C5E"/>
    <w:rsid w:val="00BC3A91"/>
    <w:rsid w:val="00BD29F7"/>
    <w:rsid w:val="00BE0BFF"/>
    <w:rsid w:val="00BE3307"/>
    <w:rsid w:val="00BF1F7F"/>
    <w:rsid w:val="00BF60F4"/>
    <w:rsid w:val="00C1058B"/>
    <w:rsid w:val="00C17E8E"/>
    <w:rsid w:val="00C2525E"/>
    <w:rsid w:val="00C25858"/>
    <w:rsid w:val="00C401F9"/>
    <w:rsid w:val="00C43C4C"/>
    <w:rsid w:val="00C53B55"/>
    <w:rsid w:val="00C73A16"/>
    <w:rsid w:val="00C774CC"/>
    <w:rsid w:val="00C82714"/>
    <w:rsid w:val="00C82832"/>
    <w:rsid w:val="00CB16A9"/>
    <w:rsid w:val="00CB3DFF"/>
    <w:rsid w:val="00CC2294"/>
    <w:rsid w:val="00CC491A"/>
    <w:rsid w:val="00CE3A3F"/>
    <w:rsid w:val="00CF05A5"/>
    <w:rsid w:val="00CF7004"/>
    <w:rsid w:val="00D01BBA"/>
    <w:rsid w:val="00D14755"/>
    <w:rsid w:val="00D25784"/>
    <w:rsid w:val="00D26AD6"/>
    <w:rsid w:val="00D3674B"/>
    <w:rsid w:val="00D3708F"/>
    <w:rsid w:val="00D50E59"/>
    <w:rsid w:val="00D60EC2"/>
    <w:rsid w:val="00D82A3F"/>
    <w:rsid w:val="00D94BEE"/>
    <w:rsid w:val="00DA530B"/>
    <w:rsid w:val="00DB044A"/>
    <w:rsid w:val="00DB2454"/>
    <w:rsid w:val="00DB4B49"/>
    <w:rsid w:val="00DC19DD"/>
    <w:rsid w:val="00DD0B5C"/>
    <w:rsid w:val="00DF5D03"/>
    <w:rsid w:val="00E003AA"/>
    <w:rsid w:val="00E00BD8"/>
    <w:rsid w:val="00E01653"/>
    <w:rsid w:val="00E01FC1"/>
    <w:rsid w:val="00E05876"/>
    <w:rsid w:val="00E162B6"/>
    <w:rsid w:val="00E20744"/>
    <w:rsid w:val="00E2322D"/>
    <w:rsid w:val="00E46345"/>
    <w:rsid w:val="00E46BFD"/>
    <w:rsid w:val="00E5043A"/>
    <w:rsid w:val="00E61759"/>
    <w:rsid w:val="00E63FA1"/>
    <w:rsid w:val="00E670F7"/>
    <w:rsid w:val="00E77150"/>
    <w:rsid w:val="00E82F08"/>
    <w:rsid w:val="00E92C93"/>
    <w:rsid w:val="00EA0D62"/>
    <w:rsid w:val="00EB1E9F"/>
    <w:rsid w:val="00EC4850"/>
    <w:rsid w:val="00EC6224"/>
    <w:rsid w:val="00EE4604"/>
    <w:rsid w:val="00EF6F22"/>
    <w:rsid w:val="00F00298"/>
    <w:rsid w:val="00F01107"/>
    <w:rsid w:val="00F03B07"/>
    <w:rsid w:val="00F05F6C"/>
    <w:rsid w:val="00F15490"/>
    <w:rsid w:val="00F2523D"/>
    <w:rsid w:val="00F26AA0"/>
    <w:rsid w:val="00F62793"/>
    <w:rsid w:val="00F801BC"/>
    <w:rsid w:val="00F84CFF"/>
    <w:rsid w:val="00FA5BAF"/>
    <w:rsid w:val="00FC68B8"/>
    <w:rsid w:val="00FD27E6"/>
    <w:rsid w:val="00FD6878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2B76"/>
  <w15:chartTrackingRefBased/>
  <w15:docId w15:val="{0C11127E-288C-49B2-8FC5-6B2989CA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E6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27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52"/>
    <w:rPr>
      <w:b/>
      <w:bCs/>
      <w:smallCaps/>
      <w:color w:val="0F4761" w:themeColor="accent1" w:themeShade="BF"/>
      <w:spacing w:val="5"/>
    </w:rPr>
  </w:style>
  <w:style w:type="paragraph" w:customStyle="1" w:styleId="Tab111">
    <w:name w:val="Tab 1.1.1"/>
    <w:basedOn w:val="Normal"/>
    <w:link w:val="Tab111Rakstz"/>
    <w:qFormat/>
    <w:rsid w:val="00FD27E6"/>
    <w:p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val="lv-LV" w:eastAsia="lv-LV"/>
    </w:rPr>
  </w:style>
  <w:style w:type="character" w:customStyle="1" w:styleId="Tab111Rakstz">
    <w:name w:val="Tab 1.1.1 Rakstz."/>
    <w:link w:val="Tab111"/>
    <w:rsid w:val="00FD27E6"/>
    <w:rPr>
      <w:rFonts w:ascii="Times New Roman" w:eastAsia="Calibri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12</cp:revision>
  <dcterms:created xsi:type="dcterms:W3CDTF">2025-06-19T11:32:00Z</dcterms:created>
  <dcterms:modified xsi:type="dcterms:W3CDTF">2025-10-01T13:33:00Z</dcterms:modified>
</cp:coreProperties>
</file>