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E1" w:rsidRPr="00EA42F0" w:rsidRDefault="00932BE1" w:rsidP="00932BE1">
      <w:pPr>
        <w:pStyle w:val="Heading1"/>
        <w:numPr>
          <w:ilvl w:val="0"/>
          <w:numId w:val="0"/>
        </w:numPr>
        <w:tabs>
          <w:tab w:val="clear" w:pos="720"/>
        </w:tabs>
        <w:jc w:val="center"/>
        <w:rPr>
          <w:i/>
          <w:iCs/>
          <w:lang w:eastAsia="ar-SA"/>
        </w:rPr>
      </w:pPr>
      <w:bookmarkStart w:id="0" w:name="_Ref519258099"/>
      <w:bookmarkStart w:id="1" w:name="_Ref58782588"/>
      <w:bookmarkStart w:id="2" w:name="_Ref519243387"/>
      <w:bookmarkStart w:id="3" w:name="_Ref63245333"/>
      <w:bookmarkStart w:id="4" w:name="_Toc94272838"/>
      <w:bookmarkStart w:id="5" w:name="_GoBack"/>
      <w:r>
        <w:t>5</w:t>
      </w:r>
      <w:r>
        <w:t>. </w:t>
      </w:r>
      <w:r w:rsidRPr="00447C18">
        <w:t>pielikums –</w:t>
      </w:r>
      <w:bookmarkEnd w:id="0"/>
      <w:bookmarkEnd w:id="1"/>
      <w:bookmarkEnd w:id="2"/>
      <w:r w:rsidRPr="00447C18">
        <w:rPr>
          <w:i/>
          <w:iCs/>
          <w:lang w:eastAsia="ar-SA"/>
        </w:rPr>
        <w:t xml:space="preserve"> </w:t>
      </w:r>
      <w:r w:rsidRPr="00EA42F0">
        <w:t>Tehniskais piedāvājums KASKO apdrošināšanai (forma)</w:t>
      </w:r>
      <w:bookmarkEnd w:id="3"/>
      <w:bookmarkEnd w:id="4"/>
    </w:p>
    <w:bookmarkEnd w:id="5"/>
    <w:p w:rsidR="00932BE1" w:rsidRPr="00BE22E3" w:rsidRDefault="00932BE1" w:rsidP="00932BE1">
      <w:pPr>
        <w:ind w:left="10206"/>
      </w:pPr>
      <w:r w:rsidRPr="00BE22E3">
        <w:t>Rīgas brīvostas pārvaldei</w:t>
      </w:r>
    </w:p>
    <w:p w:rsidR="00932BE1" w:rsidRPr="00BE22E3" w:rsidRDefault="00932BE1" w:rsidP="00932BE1">
      <w:pPr>
        <w:ind w:left="10206"/>
      </w:pPr>
      <w:r w:rsidRPr="00BE22E3">
        <w:t>PVN Reģ. Nr. LV90000512408</w:t>
      </w:r>
    </w:p>
    <w:p w:rsidR="00932BE1" w:rsidRPr="00BE22E3" w:rsidRDefault="00932BE1" w:rsidP="00932BE1">
      <w:pPr>
        <w:ind w:left="10206"/>
      </w:pPr>
      <w:r w:rsidRPr="00BE22E3">
        <w:t>Kalpaka bulvārī 12, Rīgā, LV-1010</w:t>
      </w:r>
    </w:p>
    <w:p w:rsidR="00932BE1" w:rsidRPr="00BE22E3" w:rsidRDefault="00932BE1" w:rsidP="00932BE1">
      <w:pPr>
        <w:jc w:val="center"/>
        <w:rPr>
          <w:b/>
        </w:rPr>
      </w:pPr>
    </w:p>
    <w:p w:rsidR="00932BE1" w:rsidRPr="00BE22E3" w:rsidRDefault="00932BE1" w:rsidP="00932BE1">
      <w:pPr>
        <w:rPr>
          <w:b/>
        </w:rPr>
      </w:pPr>
      <w:r w:rsidRPr="00BE22E3">
        <w:rPr>
          <w:b/>
        </w:rPr>
        <w:t>Pretendenta nosaukums______________________________</w:t>
      </w:r>
    </w:p>
    <w:p w:rsidR="00932BE1" w:rsidRPr="00BE22E3" w:rsidRDefault="00932BE1" w:rsidP="00932BE1">
      <w:pPr>
        <w:jc w:val="center"/>
        <w:rPr>
          <w:b/>
        </w:rPr>
      </w:pPr>
    </w:p>
    <w:tbl>
      <w:tblPr>
        <w:tblW w:w="13792" w:type="dxa"/>
        <w:tblInd w:w="95" w:type="dxa"/>
        <w:tblLayout w:type="fixed"/>
        <w:tblLook w:val="04A0" w:firstRow="1" w:lastRow="0" w:firstColumn="1" w:lastColumn="0" w:noHBand="0" w:noVBand="1"/>
      </w:tblPr>
      <w:tblGrid>
        <w:gridCol w:w="751"/>
        <w:gridCol w:w="3260"/>
        <w:gridCol w:w="6379"/>
        <w:gridCol w:w="3402"/>
      </w:tblGrid>
      <w:tr w:rsidR="00932BE1" w:rsidRPr="00BE22E3" w:rsidTr="00ED1E64">
        <w:trPr>
          <w:trHeight w:val="660"/>
          <w:tblHeader/>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ED1E64">
            <w:pPr>
              <w:jc w:val="center"/>
              <w:rPr>
                <w:b/>
                <w:bCs/>
                <w:color w:val="000000"/>
              </w:rPr>
            </w:pPr>
            <w:r w:rsidRPr="00BE22E3">
              <w:rPr>
                <w:b/>
                <w:bCs/>
                <w:color w:val="000000"/>
              </w:rPr>
              <w:t>Nr.p.k.</w:t>
            </w:r>
          </w:p>
        </w:tc>
        <w:tc>
          <w:tcPr>
            <w:tcW w:w="3260"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ED1E64">
            <w:pPr>
              <w:rPr>
                <w:b/>
                <w:bCs/>
                <w:color w:val="000000"/>
              </w:rPr>
            </w:pPr>
            <w:r w:rsidRPr="00BE22E3">
              <w:rPr>
                <w:b/>
                <w:bCs/>
                <w:color w:val="000000"/>
              </w:rPr>
              <w:t>Pozīcija</w:t>
            </w:r>
          </w:p>
        </w:tc>
        <w:tc>
          <w:tcPr>
            <w:tcW w:w="6379" w:type="dxa"/>
            <w:tcBorders>
              <w:top w:val="single" w:sz="4" w:space="0" w:color="auto"/>
              <w:left w:val="nil"/>
              <w:bottom w:val="single" w:sz="4" w:space="0" w:color="auto"/>
              <w:right w:val="single" w:sz="4" w:space="0" w:color="auto"/>
            </w:tcBorders>
            <w:shd w:val="clear" w:color="auto" w:fill="BFBFBF"/>
            <w:vAlign w:val="center"/>
          </w:tcPr>
          <w:p w:rsidR="00932BE1" w:rsidRPr="00BE22E3" w:rsidRDefault="00932BE1" w:rsidP="00ED1E64">
            <w:pPr>
              <w:jc w:val="center"/>
            </w:pPr>
            <w:r w:rsidRPr="00BE22E3">
              <w:rPr>
                <w:b/>
                <w:bCs/>
                <w:color w:val="000000"/>
              </w:rPr>
              <w:t>Minimālās prasības</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bottom"/>
          </w:tcPr>
          <w:p w:rsidR="00932BE1" w:rsidRPr="00BE22E3" w:rsidRDefault="00932BE1" w:rsidP="00ED1E64">
            <w:pPr>
              <w:jc w:val="center"/>
              <w:rPr>
                <w:b/>
                <w:color w:val="000000"/>
              </w:rPr>
            </w:pPr>
            <w:r w:rsidRPr="00BE22E3">
              <w:rPr>
                <w:b/>
                <w:color w:val="000000"/>
              </w:rPr>
              <w:t>Pretendenta piedāvājums</w:t>
            </w:r>
          </w:p>
          <w:p w:rsidR="00932BE1" w:rsidRPr="00BE22E3" w:rsidRDefault="00932BE1" w:rsidP="00ED1E64">
            <w:pPr>
              <w:jc w:val="center"/>
              <w:rPr>
                <w:color w:val="000000"/>
              </w:rPr>
            </w:pPr>
            <w:r w:rsidRPr="00BE22E3">
              <w:rPr>
                <w:color w:val="000000"/>
              </w:rPr>
              <w:t xml:space="preserve"> (norāda informāciju, kas apliecina tehniskās specifikācijas minimālo prasību izpildi)</w:t>
            </w:r>
          </w:p>
        </w:tc>
      </w:tr>
      <w:tr w:rsidR="00932BE1" w:rsidRPr="00BE22E3" w:rsidTr="00ED1E64">
        <w:trPr>
          <w:trHeight w:val="660"/>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Apdrošināmie transportlīdzekļi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pPr>
            <w:r w:rsidRPr="00BE22E3">
              <w:t>Visi transportlīdzekļi saskaņā ar “Apdrošināmo transportlīdzekļu sarakstu KASKO apdrošināšanai” (daļa no transportlīdzekļiem “tiek izmatoti sabiedriskās kārtības nodrošināšanai Rīgas Brīvostas teritorijā)</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rsidR="00932BE1" w:rsidRPr="00BE22E3" w:rsidRDefault="00932BE1" w:rsidP="00ED1E64">
            <w:pPr>
              <w:rPr>
                <w:b/>
                <w:bCs/>
                <w:color w:val="000000"/>
              </w:rPr>
            </w:pPr>
            <w:r w:rsidRPr="00BE22E3">
              <w:rPr>
                <w:b/>
                <w:bCs/>
                <w:color w:val="000000"/>
              </w:rPr>
              <w:t>Apdrošinājuma summa</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2BE1" w:rsidRPr="00BE22E3" w:rsidRDefault="00932BE1" w:rsidP="00ED1E64">
            <w:pPr>
              <w:jc w:val="both"/>
            </w:pPr>
            <w:r w:rsidRPr="00BE22E3">
              <w:t>Apdrošināšanas atlīdzības izmaksas bojājumu gadījumā apdrošinājuma summa paliek nemainīga visa apdrošināšanas perioda laikā.</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Apdrošinātie riski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pPr>
            <w:r w:rsidRPr="00BE22E3">
              <w:t>Saskaņā ar pretendenta standarta (šobrīd spēkā esošajiem) apdrošināšanas noteikumiem, ciktāl tie nav pretrunā ar minimālajās prasībās minētajiem nosacījumiem.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347"/>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Teritoriālais segums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center"/>
              <w:rPr>
                <w:color w:val="000000"/>
              </w:rPr>
            </w:pPr>
            <w:r w:rsidRPr="00BE22E3">
              <w:rPr>
                <w:color w:val="000000"/>
              </w:rPr>
              <w:t>Latvija</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Maksimālais bojājumu pašrisks pirmajam apdrošināšanas gadījumam</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center"/>
              <w:rPr>
                <w:color w:val="000000"/>
              </w:rPr>
            </w:pPr>
            <w:r w:rsidRPr="00BE22E3">
              <w:rPr>
                <w:color w:val="000000"/>
              </w:rPr>
              <w:t>150,- EUR</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296"/>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jc w:val="both"/>
              <w:rPr>
                <w:b/>
                <w:bCs/>
                <w:color w:val="000000"/>
              </w:rPr>
            </w:pPr>
            <w:r w:rsidRPr="00BE22E3">
              <w:rPr>
                <w:b/>
                <w:bCs/>
                <w:color w:val="000000"/>
              </w:rPr>
              <w:t xml:space="preserve">Maksimālais bojājumu pašrisks visiem pārējiem </w:t>
            </w:r>
            <w:r w:rsidRPr="00BE22E3">
              <w:rPr>
                <w:b/>
                <w:bCs/>
                <w:color w:val="000000"/>
              </w:rPr>
              <w:lastRenderedPageBreak/>
              <w:t>apdrošināšanas gadījumiem (bez apdrošināšanas gadījumu skaita ierobežojuma)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center"/>
              <w:rPr>
                <w:color w:val="000000"/>
              </w:rPr>
            </w:pPr>
            <w:r w:rsidRPr="00BE22E3">
              <w:rPr>
                <w:color w:val="000000"/>
              </w:rPr>
              <w:lastRenderedPageBreak/>
              <w:t>150,- EUR</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jc w:val="both"/>
              <w:rPr>
                <w:b/>
                <w:bCs/>
                <w:color w:val="000000"/>
              </w:rPr>
            </w:pPr>
            <w:r w:rsidRPr="00BE22E3">
              <w:rPr>
                <w:b/>
                <w:bCs/>
                <w:color w:val="000000"/>
              </w:rPr>
              <w:t>Pašrisks stiklojumam - visi salona stikli (bez gadījumu skaita ierobežojuma)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center"/>
              <w:rPr>
                <w:color w:val="000000"/>
              </w:rPr>
            </w:pPr>
            <w:r w:rsidRPr="00BE22E3">
              <w:rPr>
                <w:color w:val="000000"/>
              </w:rPr>
              <w:t>0,- EUR</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jc w:val="both"/>
              <w:rPr>
                <w:b/>
                <w:bCs/>
                <w:color w:val="000000"/>
              </w:rPr>
            </w:pPr>
            <w:r w:rsidRPr="00BE22E3">
              <w:rPr>
                <w:b/>
                <w:bCs/>
                <w:color w:val="000000"/>
              </w:rPr>
              <w:t>Pašrisks zādzībai (izņemot transportlīdzekļus ar KEYLESS GO sistēmu)</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center"/>
              <w:rPr>
                <w:color w:val="000000"/>
              </w:rPr>
            </w:pPr>
            <w:r w:rsidRPr="00BE22E3">
              <w:rPr>
                <w:color w:val="000000"/>
              </w:rPr>
              <w:t>0,- EUR</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jc w:val="both"/>
              <w:rPr>
                <w:b/>
                <w:bCs/>
                <w:color w:val="000000"/>
              </w:rPr>
            </w:pPr>
            <w:r w:rsidRPr="00BE22E3">
              <w:rPr>
                <w:b/>
                <w:bCs/>
                <w:color w:val="000000"/>
              </w:rPr>
              <w:t>Pašrisks zādzībai transportlīdzekļiem ar KEYLESS GO sistēmu</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center"/>
              <w:rPr>
                <w:color w:val="000000"/>
              </w:rPr>
            </w:pPr>
            <w:r w:rsidRPr="00BE22E3">
              <w:rPr>
                <w:color w:val="000000"/>
              </w:rPr>
              <w:t>Maksimālais pieļaujamais pašrisks 15%</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206"/>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jc w:val="both"/>
              <w:rPr>
                <w:b/>
                <w:bCs/>
                <w:color w:val="000000"/>
              </w:rPr>
            </w:pPr>
            <w:r w:rsidRPr="00BE22E3">
              <w:rPr>
                <w:b/>
                <w:bCs/>
                <w:color w:val="000000"/>
              </w:rPr>
              <w:t>Pašrisks bojāejai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center"/>
              <w:rPr>
                <w:color w:val="000000"/>
              </w:rPr>
            </w:pPr>
            <w:r w:rsidRPr="00BE22E3">
              <w:rPr>
                <w:color w:val="000000"/>
              </w:rPr>
              <w:t>0,- EUR</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jc w:val="both"/>
              <w:rPr>
                <w:b/>
                <w:bCs/>
                <w:color w:val="000000"/>
              </w:rPr>
            </w:pPr>
            <w:r w:rsidRPr="00BE22E3">
              <w:rPr>
                <w:b/>
                <w:bCs/>
                <w:color w:val="000000"/>
              </w:rPr>
              <w:t>Pašrisks, ja zināms vainīgais (ir iespējams regress pret vainīgo personu)</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Pašrisks netiek piemērots</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Vadītāju vecums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Minimālais vadītāju vecums 18 gadi</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Vadītāju stāžs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 xml:space="preserve"> Minimālais vadītāju stāžs 0 gadi un attiecīgās kategorijas vadītāja apliecība</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Jaunvērtība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Līdz viena gada veciem auto un nepārsniedzot 50 000 km nobraukumu</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Limits gadījuma bez policijas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Minimālais limits 1000,- EUR (katram transportlīdzeklim visa apdrošināšanas perioda laikā)</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rsidR="00932BE1" w:rsidRPr="00BE22E3" w:rsidRDefault="00932BE1" w:rsidP="00ED1E64">
            <w:pPr>
              <w:rPr>
                <w:b/>
                <w:bCs/>
                <w:color w:val="000000"/>
              </w:rPr>
            </w:pPr>
            <w:r w:rsidRPr="00BE22E3">
              <w:rPr>
                <w:b/>
                <w:bCs/>
                <w:color w:val="000000"/>
              </w:rPr>
              <w:t>Hidrortieciens</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Minimālais limits 3500,- EUR</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rsidR="00932BE1" w:rsidRPr="00BE22E3" w:rsidRDefault="00932BE1" w:rsidP="00ED1E64">
            <w:pPr>
              <w:rPr>
                <w:b/>
                <w:bCs/>
                <w:color w:val="000000"/>
              </w:rPr>
            </w:pPr>
            <w:r w:rsidRPr="00BE22E3">
              <w:rPr>
                <w:b/>
                <w:bCs/>
                <w:color w:val="000000"/>
              </w:rPr>
              <w:t>Transportlīdzekļa bojāeja</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Saskaņā ar pretendenta standarta (šobrīd spēkā esošajiem) apdrošināšanas noteikumiem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Oriģinālā signalizācija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Tiek akceptēta oriģinālā signalizācija</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Oriģinālai imobilaizers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Tiek akceptēts oriģinālai imobilaizers</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1350"/>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Papildus drošības sistēmas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Pretendents akceptē esošās drošības sistēmas un pasūtītājam netiek prasīts uzstādīt papildus drošības sistēmas (nepieciešamības gadījumā var tikt uzstādītas papildus drošības sistēmas, kuras finansēšanu 100% apmērā veic piegādātājs. Šādu sistēmu uzstādīšanas gadījumā Pasūtītājam nav saistoši nekādi papildus nosacījumi ārpus šī apdrošināšanas perioda).</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1785"/>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Lēmuma par apdrošināšanas atlīdzības izmaksu pieņemšanas termiņi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u w:val="single"/>
              </w:rPr>
              <w:t>Lēmums par atlīdzības izmaksu bojājumu gadījumā:</w:t>
            </w:r>
            <w:r w:rsidRPr="00BE22E3">
              <w:rPr>
                <w:color w:val="000000"/>
              </w:rPr>
              <w:t xml:space="preserve"> A) maksimālais termiņš - 5 darba dienu laikā no tāmes saņemšanas brīžam, ja tāme nepārsniedz 5000,- EUR. B) maksimālais termiņš - 10 darba dienu laikā no tāmes saņemšanas brīžam, ja tāme nepārsniedz 5000,- EUR. </w:t>
            </w:r>
            <w:r w:rsidRPr="00BE22E3">
              <w:rPr>
                <w:color w:val="000000"/>
                <w:u w:val="single"/>
              </w:rPr>
              <w:t>Lēmums par atlīdzību zādzības gadījumā</w:t>
            </w:r>
            <w:r w:rsidRPr="00BE22E3">
              <w:rPr>
                <w:color w:val="000000"/>
              </w:rPr>
              <w:t xml:space="preserve"> - 30 dienu laikā no visu nepieciešamo dokumentu saņemšanas. </w:t>
            </w:r>
            <w:r w:rsidRPr="00BE22E3">
              <w:rPr>
                <w:color w:val="000000"/>
                <w:u w:val="single"/>
              </w:rPr>
              <w:t xml:space="preserve">Lēmums par atlīdzību transportlīdzekļa bojāejas </w:t>
            </w:r>
            <w:r w:rsidRPr="00BE22E3">
              <w:rPr>
                <w:color w:val="000000"/>
                <w:u w:val="single"/>
              </w:rPr>
              <w:lastRenderedPageBreak/>
              <w:t xml:space="preserve">gadījumā </w:t>
            </w:r>
            <w:r w:rsidRPr="00BE22E3">
              <w:rPr>
                <w:color w:val="000000"/>
              </w:rPr>
              <w:t xml:space="preserve">- 10 dienu laikā no visu nepieciešamo dokumentu saņemšanas. </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lastRenderedPageBreak/>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Garantijas transportlīdzekļi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Remonts autorizētā dīlera servisā transportlīdzekļa garantijas laikā, bet nepārsniedzot 3 gadu vecumu</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Pēcgarantijas transportlīdzekļi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Remonts klienta izvēlētajā servisā, saskaņojot servisu ar AAS</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rsidR="00932BE1" w:rsidRPr="00BE22E3" w:rsidRDefault="00932BE1" w:rsidP="00ED1E64">
            <w:pPr>
              <w:rPr>
                <w:b/>
                <w:bCs/>
                <w:color w:val="000000"/>
              </w:rPr>
            </w:pPr>
            <w:r w:rsidRPr="00BE22E3">
              <w:rPr>
                <w:b/>
                <w:bCs/>
                <w:color w:val="000000"/>
              </w:rPr>
              <w:t>Auto evakuācija garantijas transportlīdzekļiem</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Evakuācija tiek nodrošināta līdz tuvākajam autorizētajam dīlera servisam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nil"/>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nil"/>
            </w:tcBorders>
            <w:shd w:val="clear" w:color="000000" w:fill="BFBFBF"/>
            <w:vAlign w:val="center"/>
            <w:hideMark/>
          </w:tcPr>
          <w:p w:rsidR="00932BE1" w:rsidRPr="00BE22E3" w:rsidRDefault="00932BE1" w:rsidP="00ED1E64">
            <w:pPr>
              <w:rPr>
                <w:b/>
                <w:bCs/>
                <w:color w:val="000000"/>
              </w:rPr>
            </w:pPr>
            <w:r w:rsidRPr="00BE22E3">
              <w:rPr>
                <w:b/>
                <w:bCs/>
                <w:color w:val="000000"/>
              </w:rPr>
              <w:t>Auto evakuācija pēcgarantijas transportlīdzekļiem</w:t>
            </w:r>
          </w:p>
        </w:tc>
        <w:tc>
          <w:tcPr>
            <w:tcW w:w="63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2BE1" w:rsidRPr="00BE22E3" w:rsidRDefault="00932BE1" w:rsidP="00ED1E64">
            <w:pPr>
              <w:jc w:val="both"/>
            </w:pPr>
            <w:r w:rsidRPr="00BE22E3">
              <w:t>Evakuācija tiek nodrošināta līdz klienta norādītajam servisam, taču nepārsniedzot 100 km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Autopalīdzības pakalpojumi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Iekļauti apdrošināšanas segumā saskaņā ar Pretendenta standarta apdrošināšanas noteikumiem, ciktāl tie nav pretrunā ar minimālajās prasībās minētajiem nosacījumiem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915"/>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Transportlīdzekļa zādzība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Transportlīdzekļa zādzības gadījumā, ja Pretendentam netiek nodots pilns nozagtā transportlīdzekļa atslēgu, signalizācijas pulšu komplekts un reģistrācijas apliecība, apdrošināšanas atlīdzība nedrīkst būt mazāka nekā 50% no apdrošinājuma summas.</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1380"/>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Transportlīdzekļa zādzība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Transportlīdzekļa zādzības gadījumā, ja pirms transportlīdzekļa zādzības ir nozagtas aizdedzes atslēgas, signalizācijas pultis, imobilaizera čipi un/vai reģistrācijas apliecība zagļiem, iekļūstot transportlīdzekļa lietotāja telpās (mājā, dzīvoklī, darba vietā), un iekļūšanas faktu apstiprina Valsts policijas izziņa, apdrošināšanas atlīdzība par nozagto transportlīdzekli tiek izmaksāta pilnā apdrošinājuma summas apmērā.</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Maksimāli iespējamais papildaprīkojuma apjoms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Ne mazāk kā 10% no apdrošinājuma summas</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Reklāmas uzraksti iekļauti segumā</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Iekļautas apdrošināšanas segumā (tikai Ostas policijas transportam)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Papildus apdrošināmie transportlīdzekļi apdrošināšanas perioda laikā</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 xml:space="preserve"> Identiskas kategorijas jaunām automašīnām tiek piemērota jau apdrošinātiem transportlīdzekļiem analoga tarifa likme</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428"/>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Apdrošināšanas līguma pirmstermiņa izbeigšana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 xml:space="preserve">KASKO apdrošināšanas līguma pārtraukšanas gadījumā, konkrētā KASKO apdrošināšanas līguma neizmantotā apdrošināšanas prēmijas daļa tiek aprēķināta, balstoties tikai un vienīgi uz dienu skaitu līdz konkrētā KASKO apdrošināšanas līguma termiņa beigām. Neizmantotās apdrošināšanas prēmijas daļa nevar tikt samazināta, un no tās nevar tikt atskaitīti administratīvie izdevumi vai cita veida ieturējumi (izņēmums ir situācijas, kad uz pārtraucamā KASKO apdrošināšanas līguma pamata ir veikta apdrošināšanas atlīdzības izmaksa), un tā tiek atgriezta Apdrošinājuma ņēmējam. </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45"/>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KASKO polises termiņš</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KASKO polises tiek slēgtas uz 12 mēnešu periodu sākot no pasūtītāja norādītā datuma konkrētajam transportlīdzeklim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Transportlīdzekļa esošā stāvokļa fiksācija</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Bez transportlīdzekļu fotografēšanas ar rakstisku apliecinājumu no Pasūtītāja par transportlīdzekļu esošo stāvokli un bojājumu neesamību</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672"/>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rPr>
                <w:b/>
                <w:bCs/>
                <w:color w:val="000000"/>
              </w:rPr>
            </w:pPr>
            <w:r w:rsidRPr="00BE22E3">
              <w:rPr>
                <w:b/>
                <w:bCs/>
                <w:color w:val="000000"/>
              </w:rPr>
              <w:t>Maksājumu skaits</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rPr>
                <w:color w:val="000000"/>
              </w:rPr>
            </w:pPr>
            <w:r w:rsidRPr="00BE22E3">
              <w:rPr>
                <w:color w:val="000000"/>
              </w:rPr>
              <w:t>Viens maksājums - kopīgs rēķins par visiem KASKO līgumiem ar konkrēti izdalītu prēmiju katram transportlīdzeklim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r w:rsidR="00932BE1" w:rsidRPr="00BE22E3" w:rsidTr="00ED1E64">
        <w:trPr>
          <w:trHeight w:val="765"/>
        </w:trPr>
        <w:tc>
          <w:tcPr>
            <w:tcW w:w="751" w:type="dxa"/>
            <w:tcBorders>
              <w:top w:val="nil"/>
              <w:left w:val="single" w:sz="4" w:space="0" w:color="auto"/>
              <w:bottom w:val="single" w:sz="4" w:space="0" w:color="auto"/>
              <w:right w:val="single" w:sz="4" w:space="0" w:color="auto"/>
            </w:tcBorders>
            <w:shd w:val="clear" w:color="000000" w:fill="BFBFBF"/>
            <w:vAlign w:val="center"/>
          </w:tcPr>
          <w:p w:rsidR="00932BE1" w:rsidRPr="00BE22E3" w:rsidRDefault="00932BE1" w:rsidP="00932BE1">
            <w:pPr>
              <w:numPr>
                <w:ilvl w:val="0"/>
                <w:numId w:val="2"/>
              </w:numPr>
              <w:ind w:left="331" w:hanging="331"/>
              <w:jc w:val="center"/>
              <w:rPr>
                <w:b/>
                <w:bCs/>
                <w:color w:val="000000"/>
              </w:rPr>
            </w:pPr>
          </w:p>
        </w:tc>
        <w:tc>
          <w:tcPr>
            <w:tcW w:w="3260" w:type="dxa"/>
            <w:tcBorders>
              <w:top w:val="nil"/>
              <w:left w:val="single" w:sz="4" w:space="0" w:color="auto"/>
              <w:bottom w:val="single" w:sz="4" w:space="0" w:color="auto"/>
              <w:right w:val="single" w:sz="4" w:space="0" w:color="auto"/>
            </w:tcBorders>
            <w:shd w:val="clear" w:color="000000" w:fill="BFBFBF"/>
            <w:vAlign w:val="center"/>
            <w:hideMark/>
          </w:tcPr>
          <w:p w:rsidR="00932BE1" w:rsidRPr="00BE22E3" w:rsidRDefault="00932BE1" w:rsidP="00ED1E64">
            <w:pPr>
              <w:jc w:val="center"/>
              <w:rPr>
                <w:b/>
                <w:bCs/>
              </w:rPr>
            </w:pPr>
            <w:r w:rsidRPr="00BE22E3">
              <w:rPr>
                <w:b/>
                <w:bCs/>
              </w:rPr>
              <w:t>Citi apdrošināšanas nosacījumi</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rsidR="00932BE1" w:rsidRPr="00BE22E3" w:rsidRDefault="00932BE1" w:rsidP="00ED1E64">
            <w:pPr>
              <w:jc w:val="both"/>
            </w:pPr>
            <w:r w:rsidRPr="00BE22E3">
              <w:t>Saskaņā ar pretendenta standarta (šobrīd spēkā esošajiem) apdrošināšanas noteikumiem, ciktāl tie nav pretrunā ar minimālajās prasībās minētajiem nosacījumiem.</w:t>
            </w:r>
          </w:p>
        </w:tc>
        <w:tc>
          <w:tcPr>
            <w:tcW w:w="3402" w:type="dxa"/>
            <w:tcBorders>
              <w:top w:val="nil"/>
              <w:left w:val="nil"/>
              <w:bottom w:val="single" w:sz="4" w:space="0" w:color="auto"/>
              <w:right w:val="single" w:sz="4" w:space="0" w:color="auto"/>
            </w:tcBorders>
            <w:shd w:val="clear" w:color="000000" w:fill="FFFFFF"/>
            <w:vAlign w:val="center"/>
            <w:hideMark/>
          </w:tcPr>
          <w:p w:rsidR="00932BE1" w:rsidRPr="00BE22E3" w:rsidRDefault="00932BE1" w:rsidP="00ED1E64">
            <w:pPr>
              <w:rPr>
                <w:color w:val="000000"/>
              </w:rPr>
            </w:pPr>
            <w:r w:rsidRPr="00BE22E3">
              <w:rPr>
                <w:color w:val="000000"/>
              </w:rPr>
              <w:t> </w:t>
            </w:r>
          </w:p>
        </w:tc>
      </w:tr>
    </w:tbl>
    <w:p w:rsidR="00932BE1" w:rsidRPr="00BE22E3" w:rsidRDefault="00932BE1" w:rsidP="00932BE1">
      <w:pPr>
        <w:jc w:val="center"/>
        <w:rPr>
          <w:b/>
        </w:rPr>
      </w:pPr>
    </w:p>
    <w:p w:rsidR="00932BE1" w:rsidRPr="00BE22E3" w:rsidRDefault="00932BE1" w:rsidP="00932BE1">
      <w:pPr>
        <w:spacing w:after="160" w:line="256" w:lineRule="auto"/>
        <w:rPr>
          <w:lang w:eastAsia="lv-LV"/>
        </w:rPr>
      </w:pPr>
    </w:p>
    <w:p w:rsidR="00932BE1" w:rsidRPr="00BE22E3" w:rsidRDefault="00932BE1" w:rsidP="00932BE1">
      <w:pPr>
        <w:spacing w:after="160" w:line="256" w:lineRule="auto"/>
        <w:rPr>
          <w:b/>
          <w:bCs/>
          <w:lang w:eastAsia="lv-LV"/>
        </w:rPr>
      </w:pPr>
      <w:r w:rsidRPr="00BE22E3">
        <w:rPr>
          <w:lang w:eastAsia="lv-LV"/>
        </w:rPr>
        <w:t>Parakstītāja vārds, uzvārds un amats: ______________________ Datums:_________</w:t>
      </w:r>
    </w:p>
    <w:p w:rsidR="00932BE1" w:rsidRPr="00BE22E3" w:rsidRDefault="00932BE1" w:rsidP="00932BE1">
      <w:pPr>
        <w:spacing w:after="160" w:line="256" w:lineRule="auto"/>
        <w:rPr>
          <w:lang w:eastAsia="lv-LV"/>
        </w:rPr>
      </w:pPr>
    </w:p>
    <w:p w:rsidR="00932BE1" w:rsidRPr="00BE22E3" w:rsidRDefault="00932BE1" w:rsidP="00932BE1">
      <w:pPr>
        <w:spacing w:after="160" w:line="256" w:lineRule="auto"/>
        <w:rPr>
          <w:i/>
        </w:rPr>
      </w:pPr>
      <w:r w:rsidRPr="00BE22E3">
        <w:rPr>
          <w:i/>
          <w:lang w:eastAsia="lv-LV"/>
        </w:rPr>
        <w:t xml:space="preserve">Pilnvarotās personas paraksts un komercsabiedrības </w:t>
      </w:r>
      <w:r w:rsidRPr="00BE22E3">
        <w:rPr>
          <w:i/>
        </w:rPr>
        <w:t>zīmoga nospiedums</w:t>
      </w:r>
    </w:p>
    <w:p w:rsidR="00932BE1" w:rsidRDefault="00932BE1" w:rsidP="00932BE1"/>
    <w:p w:rsidR="00D27C36" w:rsidRDefault="00D27C36"/>
    <w:sectPr w:rsidR="00D27C36" w:rsidSect="009008D2">
      <w:footerReference w:type="default" r:id="rId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18689"/>
      <w:docPartObj>
        <w:docPartGallery w:val="Page Numbers (Bottom of Page)"/>
        <w:docPartUnique/>
      </w:docPartObj>
    </w:sdtPr>
    <w:sdtEndPr>
      <w:rPr>
        <w:noProof/>
      </w:rPr>
    </w:sdtEndPr>
    <w:sdtContent>
      <w:p w:rsidR="003108F1" w:rsidRDefault="00932B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08F1" w:rsidRDefault="00932BE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0E6A"/>
    <w:multiLevelType w:val="multilevel"/>
    <w:tmpl w:val="00D2B46A"/>
    <w:lvl w:ilvl="0">
      <w:start w:val="1"/>
      <w:numFmt w:val="decimal"/>
      <w:pStyle w:val="Heading1"/>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2134"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1355" w:hanging="504"/>
      </w:pPr>
      <w:rPr>
        <w:b w:val="0"/>
        <w:i w:val="0"/>
        <w:strike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abstractNum w:abstractNumId="1" w15:restartNumberingAfterBreak="0">
    <w:nsid w:val="5E842F72"/>
    <w:multiLevelType w:val="hybridMultilevel"/>
    <w:tmpl w:val="AA5ABB74"/>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E1"/>
    <w:rsid w:val="00047C05"/>
    <w:rsid w:val="00932BE1"/>
    <w:rsid w:val="00D27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55AC6-CDE9-4FA8-9F9F-65834501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E1"/>
    <w:pPr>
      <w:spacing w:after="0" w:line="240" w:lineRule="auto"/>
    </w:pPr>
    <w:rPr>
      <w:rFonts w:ascii="Times New Roman" w:eastAsia="Times New Roman" w:hAnsi="Times New Roman" w:cs="Times New Roman"/>
      <w:sz w:val="24"/>
      <w:szCs w:val="24"/>
    </w:rPr>
  </w:style>
  <w:style w:type="paragraph" w:styleId="Heading1">
    <w:name w:val="heading 1"/>
    <w:aliases w:val="H1,First subtitle,Section Heading,heading1,Antraste 1,h1"/>
    <w:basedOn w:val="Normal"/>
    <w:next w:val="Normal"/>
    <w:link w:val="Heading1Char"/>
    <w:uiPriority w:val="9"/>
    <w:qFormat/>
    <w:rsid w:val="00932BE1"/>
    <w:pPr>
      <w:keepNext/>
      <w:numPr>
        <w:numId w:val="1"/>
      </w:numPr>
      <w:tabs>
        <w:tab w:val="left" w:pos="720"/>
      </w:tabs>
      <w:spacing w:before="240" w:after="24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
    <w:rsid w:val="00932BE1"/>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932BE1"/>
    <w:pPr>
      <w:tabs>
        <w:tab w:val="center" w:pos="4153"/>
        <w:tab w:val="right" w:pos="8306"/>
      </w:tabs>
    </w:pPr>
  </w:style>
  <w:style w:type="character" w:customStyle="1" w:styleId="FooterChar">
    <w:name w:val="Footer Char"/>
    <w:basedOn w:val="DefaultParagraphFont"/>
    <w:link w:val="Footer"/>
    <w:uiPriority w:val="99"/>
    <w:rsid w:val="00932B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4076</Words>
  <Characters>2324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1</cp:revision>
  <dcterms:created xsi:type="dcterms:W3CDTF">2023-02-17T15:33:00Z</dcterms:created>
  <dcterms:modified xsi:type="dcterms:W3CDTF">2023-02-17T15:33:00Z</dcterms:modified>
</cp:coreProperties>
</file>