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AD" w:rsidRPr="00EE1CC7" w:rsidRDefault="00D44D3F" w:rsidP="00380510">
      <w:pPr>
        <w:ind w:left="2160" w:firstLine="720"/>
        <w:jc w:val="right"/>
        <w:rPr>
          <w:bCs/>
        </w:rPr>
      </w:pPr>
      <w:r w:rsidRPr="00EE1CC7">
        <w:rPr>
          <w:bCs/>
        </w:rPr>
        <w:t xml:space="preserve">     </w:t>
      </w:r>
      <w:r w:rsidR="00E672AD" w:rsidRPr="00EE1CC7">
        <w:rPr>
          <w:bCs/>
        </w:rPr>
        <w:t xml:space="preserve"> </w:t>
      </w:r>
      <w:r w:rsidR="00380510">
        <w:rPr>
          <w:bCs/>
        </w:rPr>
        <w:t>2.pielikums</w:t>
      </w:r>
    </w:p>
    <w:p w:rsidR="00380510" w:rsidRDefault="00380510" w:rsidP="00380510">
      <w:pPr>
        <w:ind w:left="3240"/>
        <w:rPr>
          <w:b/>
          <w:bCs/>
        </w:rPr>
      </w:pPr>
    </w:p>
    <w:p w:rsidR="00380510" w:rsidRPr="00EE1CC7" w:rsidRDefault="00380510" w:rsidP="00380510">
      <w:pPr>
        <w:ind w:left="3240"/>
        <w:rPr>
          <w:b/>
          <w:bCs/>
        </w:rPr>
      </w:pPr>
      <w:r w:rsidRPr="00EE1CC7">
        <w:rPr>
          <w:b/>
          <w:bCs/>
        </w:rPr>
        <w:t xml:space="preserve">Tehniskā specifikācija </w:t>
      </w:r>
    </w:p>
    <w:p w:rsidR="00D44D3F" w:rsidRPr="00EE1CC7" w:rsidRDefault="00D44D3F" w:rsidP="001E1377">
      <w:pPr>
        <w:rPr>
          <w:b/>
        </w:rPr>
      </w:pPr>
    </w:p>
    <w:p w:rsidR="00E672AD" w:rsidRPr="00EE1CC7" w:rsidRDefault="00A647AB" w:rsidP="00EE1CC7">
      <w:pPr>
        <w:jc w:val="center"/>
      </w:pPr>
      <w:r>
        <w:t>Piegādātāju izvēles procedūra</w:t>
      </w:r>
      <w:r w:rsidR="001E1377" w:rsidRPr="00EE1CC7">
        <w:rPr>
          <w:b/>
        </w:rPr>
        <w:t xml:space="preserve"> </w:t>
      </w:r>
      <w:r w:rsidR="00E672AD" w:rsidRPr="00EE1CC7">
        <w:rPr>
          <w:b/>
        </w:rPr>
        <w:t>“</w:t>
      </w:r>
      <w:r w:rsidR="00E672AD" w:rsidRPr="00EE1CC7">
        <w:t>Par tiesībām izīrēt speciālās fiziskās sagatavošanas (tuvcīņas) zāli un nodrošināt viena sertificēta tuvcīņas instruktora pakalpojumus Rīgas brīvostas pārvaldes Ostas policijas vajadzībām</w:t>
      </w:r>
      <w:r w:rsidR="00E672AD" w:rsidRPr="00EE1CC7">
        <w:rPr>
          <w:b/>
        </w:rPr>
        <w:t>”</w:t>
      </w:r>
    </w:p>
    <w:p w:rsidR="00E672AD" w:rsidRPr="00EE1CC7" w:rsidRDefault="00E672AD" w:rsidP="00E672AD">
      <w:pPr>
        <w:ind w:left="3240"/>
        <w:rPr>
          <w:bCs/>
        </w:rPr>
      </w:pPr>
    </w:p>
    <w:p w:rsidR="00316A92" w:rsidRPr="00EE1CC7" w:rsidRDefault="00316A92">
      <w:pPr>
        <w:pStyle w:val="NoSpacing"/>
        <w:jc w:val="center"/>
        <w:rPr>
          <w:b/>
          <w:lang w:val="lv-LV"/>
        </w:rPr>
      </w:pPr>
    </w:p>
    <w:tbl>
      <w:tblPr>
        <w:tblpPr w:leftFromText="180" w:rightFromText="180" w:vertAnchor="text" w:horzAnchor="margin" w:tblpXSpec="center" w:tblpY="160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4"/>
        <w:gridCol w:w="4809"/>
      </w:tblGrid>
      <w:tr w:rsidR="00E672AD" w:rsidRPr="00EE1CC7" w:rsidTr="00F32F93">
        <w:trPr>
          <w:tblHeader/>
        </w:trPr>
        <w:tc>
          <w:tcPr>
            <w:tcW w:w="710" w:type="dxa"/>
            <w:shd w:val="clear" w:color="auto" w:fill="D9D9D9"/>
            <w:vAlign w:val="center"/>
          </w:tcPr>
          <w:p w:rsidR="00E672AD" w:rsidRPr="00EE1CC7" w:rsidRDefault="00E672AD" w:rsidP="00E672AD">
            <w:pPr>
              <w:jc w:val="center"/>
            </w:pPr>
            <w:r w:rsidRPr="00EE1CC7">
              <w:t>Nr. p.k.</w:t>
            </w:r>
          </w:p>
        </w:tc>
        <w:tc>
          <w:tcPr>
            <w:tcW w:w="2244" w:type="dxa"/>
            <w:shd w:val="clear" w:color="auto" w:fill="D9D9D9"/>
            <w:vAlign w:val="center"/>
          </w:tcPr>
          <w:p w:rsidR="00E672AD" w:rsidRPr="00EE1CC7" w:rsidRDefault="00E672AD" w:rsidP="00E672AD">
            <w:pPr>
              <w:jc w:val="center"/>
            </w:pPr>
            <w:r w:rsidRPr="00EE1CC7">
              <w:t>Pakalpojuma raksturojums</w:t>
            </w:r>
          </w:p>
        </w:tc>
        <w:tc>
          <w:tcPr>
            <w:tcW w:w="4809" w:type="dxa"/>
            <w:shd w:val="clear" w:color="auto" w:fill="D9D9D9"/>
            <w:vAlign w:val="center"/>
          </w:tcPr>
          <w:p w:rsidR="00E672AD" w:rsidRPr="00EE1CC7" w:rsidRDefault="00E672AD" w:rsidP="00E672AD">
            <w:pPr>
              <w:jc w:val="center"/>
            </w:pPr>
            <w:r w:rsidRPr="00EE1CC7">
              <w:t>Pakalpojuma (minimālās) prasības un nosacījumi</w:t>
            </w:r>
          </w:p>
        </w:tc>
      </w:tr>
      <w:tr w:rsidR="00E672AD" w:rsidRPr="00EE1CC7" w:rsidTr="00F32F93"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Speciālās fiziskās sagatavošanas (tuvcīņas) zāle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E672AD">
            <w:pPr>
              <w:jc w:val="both"/>
            </w:pPr>
            <w:r w:rsidRPr="00EE1CC7">
              <w:t>Atsevišķa, speciāli aprīkota telpa ar mīksto grīdas segumu (tatami)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Cilvēku skaits nodarbībā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E672AD">
            <w:pPr>
              <w:jc w:val="both"/>
            </w:pPr>
            <w:r w:rsidRPr="00EE1CC7">
              <w:t>Apmācību vienlaicīgi nodrošināt aptuveni 15 cilvēkiem</w:t>
            </w:r>
            <w:r w:rsidR="006D2BDA">
              <w:t>.</w:t>
            </w:r>
          </w:p>
        </w:tc>
      </w:tr>
      <w:tr w:rsidR="00E672AD" w:rsidRPr="00EE1CC7" w:rsidTr="00F32F93">
        <w:trPr>
          <w:trHeight w:val="567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Nodarbību norises vieta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E672AD">
            <w:pPr>
              <w:jc w:val="both"/>
            </w:pPr>
            <w:r w:rsidRPr="00EE1CC7">
              <w:t>Rīga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Vēlamais nodarbību skaits nedēļā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E672AD">
            <w:pPr>
              <w:jc w:val="both"/>
            </w:pPr>
            <w:r w:rsidRPr="00EE1CC7">
              <w:t>1 (viena) nodarbība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Vēlamais nodarbību laiks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9D6BA3" w:rsidP="00FB58E4">
            <w:pPr>
              <w:jc w:val="both"/>
            </w:pPr>
            <w:r w:rsidRPr="00EE1CC7">
              <w:t>Vienu reizi nedēļa, t</w:t>
            </w:r>
            <w:r w:rsidR="00E672AD" w:rsidRPr="00EE1CC7">
              <w:t>rešdienās no plkst.10:00 līdz 12:00 (</w:t>
            </w:r>
            <w:r w:rsidR="00FB58E4">
              <w:t>120</w:t>
            </w:r>
            <w:r w:rsidR="00E672AD" w:rsidRPr="00EE1CC7">
              <w:t xml:space="preserve"> </w:t>
            </w:r>
            <w:r w:rsidR="00FB58E4">
              <w:t>minūtes</w:t>
            </w:r>
            <w:r w:rsidR="00E672AD" w:rsidRPr="00EE1CC7">
              <w:t>)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Prasības instruktoram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063914">
            <w:pPr>
              <w:jc w:val="both"/>
            </w:pPr>
            <w:r w:rsidRPr="00EE1CC7">
              <w:t>Sertifikāts par tiesībām apmācīt un pieņemt ieskaites speciālajā fiziskajā sagatavošanā (tuvcīņā)</w:t>
            </w:r>
            <w:r w:rsidR="00063914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Papildus prasības instruktoram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E672AD">
            <w:pPr>
              <w:jc w:val="both"/>
            </w:pPr>
            <w:r w:rsidRPr="00EE1CC7">
              <w:t>Nodarbību laikā nodrošināt nepārtrauktu instruktora klātbūtni speciālās fiziskās sagatavošanas (tuvcīņas) zālē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Tuvcīņas zāles izmantošanas laiks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9D6BA3" w:rsidP="006D2BDA">
            <w:pPr>
              <w:jc w:val="both"/>
            </w:pPr>
            <w:r w:rsidRPr="00EE1CC7">
              <w:t>No</w:t>
            </w:r>
            <w:r w:rsidR="00FF6D3F" w:rsidRPr="00EE1CC7">
              <w:t xml:space="preserve"> </w:t>
            </w:r>
            <w:r w:rsidR="006D2BDA">
              <w:t>1.septembra līdz 31.oktobrim 2022., 2023. un 2024.gadā,</w:t>
            </w:r>
            <w:r w:rsidR="0044489F" w:rsidRPr="00EE1CC7">
              <w:t xml:space="preserve"> </w:t>
            </w:r>
            <w:r w:rsidR="00E672AD" w:rsidRPr="00EE1CC7">
              <w:t>izņemot valsts oficiāli noteiktās svētku dienas, nepieļaujot nepiederošu personu uzturēšanos zālē tuvcīņas apmācību laikā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Papildus prasības telpām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E672AD" w:rsidP="00E672AD">
            <w:pPr>
              <w:jc w:val="both"/>
            </w:pPr>
            <w:r w:rsidRPr="00EE1CC7">
              <w:t>Atsevišķas, slēdzamas sieviešu un vīriešu ģērbtuves, WC un dušas</w:t>
            </w:r>
            <w:r w:rsidR="006D2BDA">
              <w:t>.</w:t>
            </w:r>
          </w:p>
        </w:tc>
      </w:tr>
      <w:tr w:rsidR="00E672A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E672AD" w:rsidRPr="00EE1CC7" w:rsidRDefault="00E672A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672AD" w:rsidRPr="00EE1CC7" w:rsidRDefault="00E672AD" w:rsidP="00C462ED">
            <w:r w:rsidRPr="00EE1CC7">
              <w:t>Autostāvvieta</w:t>
            </w:r>
          </w:p>
        </w:tc>
        <w:tc>
          <w:tcPr>
            <w:tcW w:w="4809" w:type="dxa"/>
            <w:shd w:val="clear" w:color="auto" w:fill="auto"/>
          </w:tcPr>
          <w:p w:rsidR="00E672AD" w:rsidRPr="00EE1CC7" w:rsidRDefault="006D2BDA" w:rsidP="00E672AD">
            <w:pPr>
              <w:jc w:val="both"/>
            </w:pPr>
            <w:r>
              <w:t>Bezmaksas autostāvvieta.</w:t>
            </w:r>
          </w:p>
        </w:tc>
      </w:tr>
      <w:tr w:rsidR="00C462ED" w:rsidRPr="00EE1CC7" w:rsidTr="00F32F93">
        <w:trPr>
          <w:trHeight w:val="510"/>
        </w:trPr>
        <w:tc>
          <w:tcPr>
            <w:tcW w:w="710" w:type="dxa"/>
            <w:shd w:val="clear" w:color="auto" w:fill="auto"/>
          </w:tcPr>
          <w:p w:rsidR="00C462ED" w:rsidRPr="00EE1CC7" w:rsidRDefault="00C462ED" w:rsidP="00E672AD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C462ED" w:rsidRPr="00EE1CC7" w:rsidRDefault="00C462ED" w:rsidP="00C462ED">
            <w:r w:rsidRPr="00EE1CC7">
              <w:t>Līgums</w:t>
            </w:r>
          </w:p>
        </w:tc>
        <w:tc>
          <w:tcPr>
            <w:tcW w:w="4809" w:type="dxa"/>
            <w:shd w:val="clear" w:color="auto" w:fill="auto"/>
          </w:tcPr>
          <w:p w:rsidR="00C462ED" w:rsidRPr="00EE1CC7" w:rsidRDefault="00D44D3F" w:rsidP="00A647AB">
            <w:pPr>
              <w:jc w:val="both"/>
            </w:pPr>
            <w:r w:rsidRPr="00EE1CC7">
              <w:t>Līgums tiek noslēgts uz vienu gadu, paredzot to pagarināšanu (</w:t>
            </w:r>
            <w:r w:rsidR="001E1377" w:rsidRPr="00EE1CC7">
              <w:t xml:space="preserve">ik </w:t>
            </w:r>
            <w:r w:rsidRPr="00EE1CC7">
              <w:t xml:space="preserve">pēc gada) līdz 2024. gadam (ieskaitot), pirms pagarināšanas saskaņojot ar Pasūtītāju pakalpojuma sniegšanas </w:t>
            </w:r>
            <w:r w:rsidR="004A78C6" w:rsidRPr="00EE1CC7">
              <w:t xml:space="preserve">turpmāko </w:t>
            </w:r>
            <w:r w:rsidRPr="00EE1CC7">
              <w:t>laika periodu. Līgums var tikt pārtraukts pirms termiņa beigām, pamatojoties uz nepārvaramas varas apstākļu iestāšanos (piemērām visā valsts teritorijā izsludināts “</w:t>
            </w:r>
            <w:proofErr w:type="spellStart"/>
            <w:r w:rsidRPr="00EE1CC7">
              <w:t>lokdauns</w:t>
            </w:r>
            <w:proofErr w:type="spellEnd"/>
            <w:r w:rsidRPr="00EE1CC7">
              <w:t xml:space="preserve">”, ārkārtēja situācija un tml.), ja šie apstākļi turpinās ilgāk par vienu </w:t>
            </w:r>
            <w:r w:rsidR="00A647AB">
              <w:t>mēnesi.</w:t>
            </w:r>
          </w:p>
        </w:tc>
      </w:tr>
    </w:tbl>
    <w:p w:rsidR="00316A92" w:rsidRPr="00EE1CC7" w:rsidRDefault="00316A92">
      <w:pPr>
        <w:ind w:firstLine="426"/>
        <w:jc w:val="both"/>
        <w:rPr>
          <w:color w:val="000000"/>
          <w:shd w:val="clear" w:color="auto" w:fill="D9D9D9"/>
        </w:rPr>
      </w:pPr>
    </w:p>
    <w:p w:rsidR="00316A92" w:rsidRPr="00EE1CC7" w:rsidRDefault="00316A92">
      <w:pPr>
        <w:rPr>
          <w:b/>
        </w:rPr>
      </w:pPr>
    </w:p>
    <w:p w:rsidR="005A2B53" w:rsidRPr="00EE1CC7" w:rsidRDefault="005A2B53" w:rsidP="005A2B53">
      <w:pPr>
        <w:ind w:left="-284"/>
        <w:rPr>
          <w:b/>
        </w:rPr>
      </w:pPr>
    </w:p>
    <w:p w:rsidR="005A2B53" w:rsidRPr="00EE1CC7" w:rsidRDefault="005A2B53" w:rsidP="005A2B53">
      <w:pPr>
        <w:ind w:left="-284"/>
        <w:rPr>
          <w:b/>
        </w:rPr>
      </w:pPr>
      <w:bookmarkStart w:id="0" w:name="_GoBack"/>
      <w:bookmarkEnd w:id="0"/>
    </w:p>
    <w:sectPr w:rsidR="005A2B53" w:rsidRPr="00EE1CC7" w:rsidSect="00E672AD">
      <w:pgSz w:w="11906" w:h="16838"/>
      <w:pgMar w:top="1134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3087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5B28FD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693F2C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92"/>
    <w:rsid w:val="0003550A"/>
    <w:rsid w:val="00063914"/>
    <w:rsid w:val="000654A3"/>
    <w:rsid w:val="000E27FA"/>
    <w:rsid w:val="00110995"/>
    <w:rsid w:val="001E1377"/>
    <w:rsid w:val="0029281C"/>
    <w:rsid w:val="00316A92"/>
    <w:rsid w:val="00316BB1"/>
    <w:rsid w:val="0032283E"/>
    <w:rsid w:val="00380510"/>
    <w:rsid w:val="0044489F"/>
    <w:rsid w:val="0049222F"/>
    <w:rsid w:val="004A78C6"/>
    <w:rsid w:val="005A1CDC"/>
    <w:rsid w:val="005A2B53"/>
    <w:rsid w:val="00673388"/>
    <w:rsid w:val="00674BB0"/>
    <w:rsid w:val="006D2BDA"/>
    <w:rsid w:val="007E63F2"/>
    <w:rsid w:val="0081389C"/>
    <w:rsid w:val="008851E2"/>
    <w:rsid w:val="009A5325"/>
    <w:rsid w:val="009D6BA3"/>
    <w:rsid w:val="00A647AB"/>
    <w:rsid w:val="00C462ED"/>
    <w:rsid w:val="00D44D3F"/>
    <w:rsid w:val="00E672AD"/>
    <w:rsid w:val="00EC64D6"/>
    <w:rsid w:val="00EE1CC7"/>
    <w:rsid w:val="00F10AB5"/>
    <w:rsid w:val="00F32F93"/>
    <w:rsid w:val="00F628EF"/>
    <w:rsid w:val="00FB58E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4970-1473-4493-BF2D-5CCB62D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Heading1"/>
    <w:link w:val="Heading2Char"/>
    <w:qFormat/>
    <w:pPr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 w:cs="SimSun"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1"/>
      </w:numPr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mbria" w:eastAsia="SimSun" w:hAnsi="Cambria" w:cs="SimSu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Cambria" w:eastAsia="SimSun" w:hAnsi="Cambria" w:cs="SimSun"/>
      <w:color w:val="365F91"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 Pavro</dc:creator>
  <cp:lastModifiedBy>Ervīns Romans</cp:lastModifiedBy>
  <cp:revision>7</cp:revision>
  <dcterms:created xsi:type="dcterms:W3CDTF">2022-06-10T04:15:00Z</dcterms:created>
  <dcterms:modified xsi:type="dcterms:W3CDTF">2022-06-16T10:23:00Z</dcterms:modified>
</cp:coreProperties>
</file>